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w:t>
      </w:r>
    </w:p>
    <w:p w:rsidR="00000000" w:rsidDel="00000000" w:rsidP="00000000" w:rsidRDefault="00000000" w:rsidRPr="00000000" w14:paraId="0000000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bookmarkStart w:colFirst="0" w:colLast="0" w:name="bookmark=id.tyjcwt" w:id="5"/>
    <w:bookmarkEnd w:id="5"/>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w:t>
      </w:r>
    </w:p>
    <w:bookmarkStart w:colFirst="0" w:colLast="0" w:name="bookmark=id.3dy6vkm" w:id="6"/>
    <w:bookmarkEnd w:id="6"/>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rtl w:val="0"/>
        </w:rPr>
        <w:t xml:space="preserve">Redacted under FOIA section 40, Personal Information</w:t>
      </w:r>
      <w:r w:rsidDel="00000000" w:rsidR="00000000" w:rsidRPr="00000000">
        <w:rPr>
          <w:rtl w:val="0"/>
        </w:rPr>
      </w:r>
    </w:p>
    <w:p w:rsidR="00000000" w:rsidDel="00000000" w:rsidP="00000000" w:rsidRDefault="00000000" w:rsidRPr="00000000" w14:paraId="0000006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rtl w:val="0"/>
        </w:rPr>
        <w:t xml:space="preserve">Redacted under FOIA section 40, Personal Information</w:t>
      </w:r>
      <w:r w:rsidDel="00000000" w:rsidR="00000000" w:rsidRPr="00000000">
        <w:rPr>
          <w:rtl w:val="0"/>
        </w:rPr>
      </w:r>
    </w:p>
    <w:p w:rsidR="00000000" w:rsidDel="00000000" w:rsidP="00000000" w:rsidRDefault="00000000" w:rsidRPr="00000000" w14:paraId="0000006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6C">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6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6E">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6F">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70">
            <w:pPr>
              <w:numPr>
                <w:ilvl w:val="0"/>
                <w:numId w:val="4"/>
              </w:numP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The Supplier will not be required to process any other personal as part of this contract</w:t>
            </w: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2">
            <w:pPr>
              <w:pStyle w:val="Heading3"/>
              <w:keepNext w:val="0"/>
              <w:keepLines w:val="0"/>
              <w:spacing w:after="120" w:before="0" w:lineRule="auto"/>
              <w:jc w:val="both"/>
              <w:rPr>
                <w:rFonts w:ascii="Arial" w:cs="Arial" w:eastAsia="Arial" w:hAnsi="Arial"/>
                <w:sz w:val="24"/>
                <w:szCs w:val="24"/>
              </w:rPr>
            </w:pPr>
            <w:bookmarkStart w:colFirst="0" w:colLast="0" w:name="_heading=h.3udwjb9q0v1n" w:id="15"/>
            <w:bookmarkEnd w:id="15"/>
            <w:r w:rsidDel="00000000" w:rsidR="00000000" w:rsidRPr="00000000">
              <w:rPr>
                <w:rFonts w:ascii="Arial" w:cs="Arial" w:eastAsia="Arial" w:hAnsi="Arial"/>
                <w:b w:val="0"/>
                <w:sz w:val="24"/>
                <w:szCs w:val="24"/>
                <w:rtl w:val="0"/>
              </w:rPr>
              <w:t xml:space="preserve">09/06/2025 - 31/01/2026</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ensure that it does not attempt to obtain any personal data as part of this contract’s requirements. Furthermore any data it does obtain, no attempt will be made to match data to identify any individuals. </w:t>
            </w:r>
          </w:p>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rPr/>
            </w:pPr>
            <w:r w:rsidDel="00000000" w:rsidR="00000000" w:rsidRPr="00000000">
              <w:rPr>
                <w:rFonts w:ascii="Arial" w:cs="Arial" w:eastAsia="Arial" w:hAnsi="Arial"/>
                <w:sz w:val="24"/>
                <w:szCs w:val="24"/>
                <w:rtl w:val="0"/>
              </w:rPr>
              <w:t xml:space="preserve">The Supplier will be asked to access existing datasets and carry out decomposition analysis of the gender pay gap in the UK. This will provide detailed information about:</w:t>
              <w:br w:type="textWrapping"/>
            </w:r>
            <w:r w:rsidDel="00000000" w:rsidR="00000000" w:rsidRPr="00000000">
              <w:rPr>
                <w:rtl w:val="0"/>
              </w:rPr>
            </w:r>
          </w:p>
          <w:p w:rsidR="00000000" w:rsidDel="00000000" w:rsidP="00000000" w:rsidRDefault="00000000" w:rsidRPr="00000000" w14:paraId="00000077">
            <w:pPr>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drivers and protective factors of the GPG</w:t>
            </w:r>
          </w:p>
          <w:p w:rsidR="00000000" w:rsidDel="00000000" w:rsidP="00000000" w:rsidRDefault="00000000" w:rsidRPr="00000000" w14:paraId="00000078">
            <w:pPr>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Their relative importance in driving GPG</w:t>
            </w:r>
          </w:p>
          <w:p w:rsidR="00000000" w:rsidDel="00000000" w:rsidP="00000000" w:rsidRDefault="00000000" w:rsidRPr="00000000" w14:paraId="00000079">
            <w:pPr>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How has the relative importance of the drivers and protective factors changed over time</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This will require the Supplier to:</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numPr>
                <w:ilvl w:val="0"/>
                <w:numId w:val="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Access anonymised datasets</w:t>
            </w:r>
          </w:p>
          <w:p w:rsidR="00000000" w:rsidDel="00000000" w:rsidP="00000000" w:rsidRDefault="00000000" w:rsidRPr="00000000" w14:paraId="0000007E">
            <w:pPr>
              <w:numPr>
                <w:ilvl w:val="0"/>
                <w:numId w:val="5"/>
              </w:numPr>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Carry out decomposition analysis</w:t>
            </w:r>
            <w:r w:rsidDel="00000000" w:rsidR="00000000" w:rsidRPr="00000000">
              <w:rPr>
                <w:rtl w:val="0"/>
              </w:rPr>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analysis will be used to ensure that current policy discussions are based on the latest data available. The outputs will provide an update of previous work, notably Olsen et al. 2018 ‘The gender pay gap in the UK: evidence from the UKHLS‘ and Olsen et al. 2010 ‘The Gender Pay Gap in the UK 1995-2007’. </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analysis will be used alongside a rapid evidence review of available literature which will aim to identify solutions to the GPG.</w:t>
            </w:r>
          </w:p>
        </w:tc>
      </w:tr>
      <w:tr>
        <w:trPr>
          <w:cantSplit w:val="0"/>
          <w:trHeight w:val="1400" w:hRule="atLeast"/>
          <w:tblHeader w:val="0"/>
        </w:trPr>
        <w:tc>
          <w:tcPr>
            <w:shd w:fill="auto" w:val="clear"/>
          </w:tcPr>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No personally identifiable data will be processed as part of this contract’s requirements. </w:t>
            </w:r>
          </w:p>
        </w:tc>
      </w:tr>
      <w:tr>
        <w:trPr>
          <w:cantSplit w:val="0"/>
          <w:trHeight w:val="1560" w:hRule="atLeast"/>
          <w:tblHeader w:val="0"/>
        </w:trPr>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6">
            <w:pPr>
              <w:rPr>
                <w:rFonts w:ascii="Arial" w:cs="Arial" w:eastAsia="Arial" w:hAnsi="Arial"/>
                <w:sz w:val="24"/>
                <w:szCs w:val="24"/>
              </w:rPr>
            </w:pPr>
            <w:bookmarkStart w:colFirst="0" w:colLast="0" w:name="_heading=h.30j0zll" w:id="16"/>
            <w:bookmarkEnd w:id="16"/>
            <w:r w:rsidDel="00000000" w:rsidR="00000000" w:rsidRPr="00000000">
              <w:rPr>
                <w:rFonts w:ascii="Arial" w:cs="Arial" w:eastAsia="Arial" w:hAnsi="Arial"/>
                <w:sz w:val="24"/>
                <w:szCs w:val="24"/>
                <w:rtl w:val="0"/>
              </w:rPr>
              <w:t xml:space="preserve">No identifiable Data Subjects will be involved. </w:t>
            </w:r>
          </w:p>
        </w:tc>
      </w:tr>
      <w:tr>
        <w:trPr>
          <w:cantSplit w:val="0"/>
          <w:trHeight w:val="166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only process anonymised data for this contract. </w:t>
            </w:r>
          </w:p>
          <w:p w:rsidR="00000000" w:rsidDel="00000000" w:rsidP="00000000" w:rsidRDefault="00000000" w:rsidRPr="00000000" w14:paraId="0000008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Cabinet Office will be provided with the results of analysis using the anonymised data from the Supplier. This will mean there is no risk of statistical disclosure from the outputs of the project.</w:t>
            </w: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Supplier will retain anonymised data for 6 months after the end of the contract after which it will be permanently deleted from their systems. This is to enable clarification and correction as necessary. </w:t>
            </w:r>
            <w:r w:rsidDel="00000000" w:rsidR="00000000" w:rsidRPr="00000000">
              <w:rPr>
                <w:rtl w:val="0"/>
              </w:rPr>
            </w:r>
          </w:p>
        </w:tc>
      </w:tr>
    </w:tbl>
    <w:p w:rsidR="00000000" w:rsidDel="00000000" w:rsidP="00000000" w:rsidRDefault="00000000" w:rsidRPr="00000000" w14:paraId="0000008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1">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2">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3">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9B">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9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9D">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9E">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9F">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0">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1">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4">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5">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6">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7">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8">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9">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A">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AB">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AD">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AE">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AF">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0">
      <w:pPr>
        <w:numPr>
          <w:ilvl w:val="3"/>
          <w:numId w:val="9"/>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1">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2">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4">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8">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9">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A">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B">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B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B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BE">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B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1">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4">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2"/>
          <w:numId w:val="8"/>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CE">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2">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8">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DD">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DE">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DF">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0">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1">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2">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D">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0">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-13326</wp:posOffset>
          </wp:positionV>
          <wp:extent cx="849085" cy="685627"/>
          <wp:effectExtent b="0" l="0" r="0" t="0"/>
          <wp:wrapNone/>
          <wp:docPr descr="Crown Commercial Service" id="8"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wm9Y30rBNZViDfhynVEnrvG7Mw==">CgMxLjAyCGguZ2pkZ3hzMgppZC4zMGowemxsMgppZC4xZm9iOXRlMgppZC4zem55c2g3MgppZC4yZXQ5MnAwMglpZC50eWpjd3QyCmlkLjNkeTZ2a20yCmlkLjF0M2g1c2YyCmlkLjRkMzRvZzgyCmlkLjJzOGV5bzEyCmlkLjE3ZHA4dnUyCmlkLjNyZGNyam4yCmlkLjI2aW4xcmcyCWlkLmxueGJ6OTIKaWQuMzVua3VuMjIOaC4zdWR3amI5cTB2MW4yCWguMzBqMHpsbDIKaWQuMWtzdjR1djIJaC40NHNpbmlvOAByITE5bERLWU0wYi1YSGxpWG1kVVJCUTc4NllnSzMxZnZy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2025-02-18T16:23:00Z</dcterms:created>
  <dc:creator>Katharine Duffy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